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DACA" w14:textId="77777777" w:rsidR="001D2756" w:rsidRDefault="007954A7">
      <w:pPr>
        <w:pStyle w:val="Header"/>
        <w:tabs>
          <w:tab w:val="right" w:pos="9639"/>
        </w:tabs>
        <w:rPr>
          <w:bCs/>
          <w:i/>
          <w:sz w:val="24"/>
          <w:szCs w:val="24"/>
        </w:rPr>
      </w:pPr>
      <w:r>
        <w:rPr>
          <w:bCs/>
          <w:sz w:val="24"/>
          <w:szCs w:val="24"/>
        </w:rPr>
        <w:t>3GPP TSG-RAN WG2 NR Ad hoc 1801</w:t>
      </w:r>
      <w:r>
        <w:rPr>
          <w:bCs/>
          <w:sz w:val="24"/>
          <w:szCs w:val="24"/>
        </w:rPr>
        <w:tab/>
        <w:t>R3-180521</w:t>
      </w:r>
    </w:p>
    <w:p w14:paraId="2467599E" w14:textId="77777777" w:rsidR="001D2756" w:rsidRDefault="007954A7">
      <w:pPr>
        <w:pStyle w:val="Header"/>
        <w:tabs>
          <w:tab w:val="right" w:pos="9639"/>
        </w:tabs>
        <w:rPr>
          <w:bCs/>
          <w:sz w:val="24"/>
          <w:szCs w:val="24"/>
        </w:rPr>
      </w:pPr>
      <w:r>
        <w:rPr>
          <w:rFonts w:eastAsia="SimSun"/>
          <w:sz w:val="24"/>
          <w:szCs w:val="24"/>
          <w:lang w:eastAsia="zh-CN"/>
        </w:rPr>
        <w:t>Sophia Antipolis, France, 22 – 26 January 2018</w:t>
      </w:r>
    </w:p>
    <w:p w14:paraId="2BE5BAE5" w14:textId="77777777" w:rsidR="001D2756" w:rsidRDefault="001D2756">
      <w:pPr>
        <w:pStyle w:val="Header"/>
        <w:rPr>
          <w:bCs/>
          <w:sz w:val="24"/>
        </w:rPr>
      </w:pPr>
    </w:p>
    <w:p w14:paraId="273FBB62" w14:textId="77777777" w:rsidR="001D2756" w:rsidRDefault="001D2756">
      <w:pPr>
        <w:pStyle w:val="Header"/>
        <w:rPr>
          <w:bCs/>
          <w:sz w:val="24"/>
        </w:rPr>
      </w:pPr>
    </w:p>
    <w:p w14:paraId="5304706C" w14:textId="77777777" w:rsidR="001D2756" w:rsidRDefault="007954A7">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31.3.1</w:t>
      </w:r>
    </w:p>
    <w:p w14:paraId="6C59C68F" w14:textId="77777777" w:rsidR="001D2756" w:rsidRDefault="007954A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B23484C" w14:textId="77777777" w:rsidR="001D2756" w:rsidRDefault="007954A7">
      <w:pPr>
        <w:ind w:left="1985" w:hanging="1985"/>
        <w:rPr>
          <w:rFonts w:ascii="Arial" w:hAnsi="Arial" w:cs="Arial"/>
          <w:b/>
          <w:bCs/>
          <w:sz w:val="24"/>
        </w:rPr>
      </w:pPr>
      <w:r>
        <w:rPr>
          <w:rFonts w:ascii="Arial" w:hAnsi="Arial" w:cs="Arial"/>
          <w:b/>
          <w:bCs/>
          <w:sz w:val="24"/>
        </w:rPr>
        <w:t>Title:</w:t>
      </w:r>
      <w:r>
        <w:rPr>
          <w:rFonts w:ascii="Arial" w:hAnsi="Arial" w:cs="Arial"/>
          <w:b/>
          <w:bCs/>
          <w:sz w:val="24"/>
        </w:rPr>
        <w:tab/>
        <w:t>Way forward for NSA NR</w:t>
      </w:r>
    </w:p>
    <w:p w14:paraId="23995843" w14:textId="77777777" w:rsidR="001D2756" w:rsidRDefault="007954A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CDBD536" w14:textId="77777777" w:rsidR="001D2756" w:rsidRDefault="001D2756">
      <w:pPr>
        <w:tabs>
          <w:tab w:val="left" w:pos="1985"/>
        </w:tabs>
        <w:rPr>
          <w:rFonts w:ascii="Arial" w:hAnsi="Arial" w:cs="Arial"/>
          <w:b/>
          <w:bCs/>
          <w:sz w:val="24"/>
        </w:rPr>
      </w:pPr>
    </w:p>
    <w:p w14:paraId="288F4E69" w14:textId="77777777" w:rsidR="001D2756" w:rsidRDefault="007954A7">
      <w:pPr>
        <w:pStyle w:val="Heading1"/>
      </w:pPr>
      <w:r>
        <w:t>1</w:t>
      </w:r>
      <w:r>
        <w:tab/>
        <w:t>Introduction</w:t>
      </w:r>
    </w:p>
    <w:p w14:paraId="1CBFEB29" w14:textId="77777777" w:rsidR="001D2756" w:rsidRDefault="007954A7">
      <w:pPr>
        <w:rPr>
          <w:lang w:val="en-US"/>
        </w:rPr>
      </w:pPr>
      <w:r>
        <w:rPr>
          <w:lang w:val="en-US"/>
        </w:rPr>
        <w:t>This way forward document covers the following offline discussion:</w:t>
      </w:r>
    </w:p>
    <w:p w14:paraId="09AD55A5" w14:textId="77777777" w:rsidR="001D2756" w:rsidRDefault="007954A7">
      <w:pPr>
        <w:widowControl w:val="0"/>
        <w:spacing w:after="0"/>
        <w:ind w:left="144" w:hanging="144"/>
        <w:rPr>
          <w:b/>
          <w:color w:val="FF00FF"/>
          <w:sz w:val="18"/>
          <w:szCs w:val="24"/>
        </w:rPr>
      </w:pPr>
      <w:r>
        <w:rPr>
          <w:b/>
          <w:color w:val="FF00FF"/>
          <w:sz w:val="18"/>
          <w:szCs w:val="24"/>
        </w:rPr>
        <w:t>CB: # 5_NSA_ANR</w:t>
      </w:r>
    </w:p>
    <w:p w14:paraId="59BB54EF" w14:textId="77777777" w:rsidR="001D2756" w:rsidRDefault="007954A7">
      <w:pPr>
        <w:widowControl w:val="0"/>
        <w:spacing w:after="0"/>
        <w:ind w:left="144" w:hanging="144"/>
        <w:rPr>
          <w:b/>
          <w:color w:val="FF00FF"/>
          <w:sz w:val="18"/>
          <w:szCs w:val="24"/>
        </w:rPr>
      </w:pPr>
      <w:r>
        <w:rPr>
          <w:b/>
          <w:color w:val="FF00FF"/>
          <w:sz w:val="18"/>
          <w:szCs w:val="24"/>
        </w:rPr>
        <w:t>-  start from agreeable proposals: p2, p3, p4</w:t>
      </w:r>
    </w:p>
    <w:p w14:paraId="02B6454C" w14:textId="77777777" w:rsidR="001D2756" w:rsidRDefault="007954A7">
      <w:pPr>
        <w:widowControl w:val="0"/>
        <w:spacing w:after="0"/>
        <w:ind w:left="144" w:hanging="144"/>
        <w:rPr>
          <w:b/>
          <w:color w:val="FF00FF"/>
          <w:sz w:val="18"/>
          <w:szCs w:val="24"/>
        </w:rPr>
      </w:pPr>
      <w:r>
        <w:rPr>
          <w:b/>
          <w:color w:val="FF00FF"/>
          <w:sz w:val="18"/>
          <w:szCs w:val="24"/>
        </w:rPr>
        <w:t>- further discuss scenario on sending partial cell list: benefits (if any?), is additional complexity worth the effort, etc.</w:t>
      </w:r>
    </w:p>
    <w:p w14:paraId="258D1A60" w14:textId="77777777" w:rsidR="001D2756" w:rsidRDefault="007954A7">
      <w:pPr>
        <w:widowControl w:val="0"/>
        <w:spacing w:after="0"/>
        <w:ind w:left="144" w:hanging="144"/>
        <w:rPr>
          <w:b/>
          <w:color w:val="FF00FF"/>
          <w:sz w:val="18"/>
          <w:szCs w:val="24"/>
        </w:rPr>
      </w:pPr>
      <w:r>
        <w:rPr>
          <w:b/>
          <w:color w:val="FF00FF"/>
          <w:sz w:val="18"/>
          <w:szCs w:val="24"/>
        </w:rPr>
        <w:t>- whether to keep text “this IE may be refined” pending RAN2 response LS?</w:t>
      </w:r>
    </w:p>
    <w:p w14:paraId="31399D56" w14:textId="77777777" w:rsidR="001D2756" w:rsidRDefault="007954A7">
      <w:pPr>
        <w:widowControl w:val="0"/>
        <w:spacing w:after="0"/>
        <w:ind w:left="144" w:hanging="144"/>
        <w:rPr>
          <w:b/>
          <w:color w:val="FF00FF"/>
          <w:sz w:val="18"/>
          <w:szCs w:val="24"/>
        </w:rPr>
      </w:pPr>
      <w:r>
        <w:rPr>
          <w:b/>
          <w:color w:val="FF00FF"/>
          <w:sz w:val="18"/>
          <w:szCs w:val="24"/>
        </w:rPr>
        <w:t>- solution to address p1, p5 (if agreeable)</w:t>
      </w:r>
    </w:p>
    <w:p w14:paraId="0A55A92A" w14:textId="77777777" w:rsidR="001D2756" w:rsidRDefault="007954A7">
      <w:pPr>
        <w:widowControl w:val="0"/>
        <w:spacing w:after="0"/>
        <w:ind w:left="144" w:hanging="144"/>
        <w:rPr>
          <w:color w:val="000000"/>
          <w:sz w:val="18"/>
          <w:szCs w:val="24"/>
        </w:rPr>
      </w:pPr>
      <w:r>
        <w:rPr>
          <w:color w:val="000000"/>
          <w:sz w:val="18"/>
          <w:szCs w:val="24"/>
        </w:rPr>
        <w:t>(Nok)</w:t>
      </w:r>
    </w:p>
    <w:p w14:paraId="13475739" w14:textId="77777777" w:rsidR="001D2756" w:rsidRDefault="001D2756">
      <w:pPr>
        <w:rPr>
          <w:lang w:val="en-US"/>
        </w:rPr>
      </w:pPr>
    </w:p>
    <w:p w14:paraId="32E9EA91" w14:textId="77777777" w:rsidR="001D2756" w:rsidRDefault="007954A7">
      <w:pPr>
        <w:rPr>
          <w:lang w:val="en-US"/>
        </w:rPr>
      </w:pPr>
      <w:r>
        <w:rPr>
          <w:lang w:val="en-US"/>
        </w:rPr>
        <w:t>which refers to the following proposals in R3-180500:</w:t>
      </w:r>
    </w:p>
    <w:p w14:paraId="52D893BE"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Proposal 1: Not include List of NR Carriers, but mandate that the en-gNB provides at least one NR cell per served carrier frequency.</w:t>
      </w:r>
    </w:p>
    <w:p w14:paraId="59A8BC69"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Proposal 2: Encode NR ARFCN as INTEGER(0..3266667), pending confirmation from RAN4 and RAN2.</w:t>
      </w:r>
    </w:p>
    <w:p w14:paraId="3950E090"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Proposal 3: Not include the Subframe Assignment IE in the Served NR Cell Information IE.</w:t>
      </w:r>
    </w:p>
    <w:p w14:paraId="6EC3B4AC"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Proposal 4: Not include the Special Subframe Info IE in the Served NR Cell Information IE.</w:t>
      </w:r>
    </w:p>
    <w:p w14:paraId="64F72BCF"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Proposal 5: Include the ‘Partial List’ choice tag in Cell Assistance Information.</w:t>
      </w:r>
    </w:p>
    <w:p w14:paraId="795891D1" w14:textId="77777777" w:rsidR="001D2756" w:rsidRDefault="001D2756"/>
    <w:p w14:paraId="55DEF529" w14:textId="77777777" w:rsidR="001D2756" w:rsidRDefault="007954A7">
      <w:pPr>
        <w:rPr>
          <w:lang w:val="en-US"/>
        </w:rPr>
      </w:pPr>
      <w:r>
        <w:rPr>
          <w:lang w:val="en-US"/>
        </w:rPr>
        <w:t>Outcome relative to p2, p3 and p4 is resumed in section 2.</w:t>
      </w:r>
    </w:p>
    <w:p w14:paraId="65701802" w14:textId="77777777" w:rsidR="001D2756" w:rsidRDefault="007954A7">
      <w:pPr>
        <w:rPr>
          <w:lang w:val="en-US"/>
        </w:rPr>
      </w:pPr>
      <w:r>
        <w:rPr>
          <w:lang w:val="en-US"/>
        </w:rPr>
        <w:t>Outcome relative to p1 and p5 is resumed in section 3.</w:t>
      </w:r>
    </w:p>
    <w:p w14:paraId="1855F712" w14:textId="77777777" w:rsidR="001D2756" w:rsidRDefault="007954A7">
      <w:pPr>
        <w:pStyle w:val="Heading1"/>
        <w:rPr>
          <w:lang w:val="en-US"/>
        </w:rPr>
      </w:pPr>
      <w:r>
        <w:rPr>
          <w:lang w:val="en-US"/>
        </w:rPr>
        <w:t>2</w:t>
      </w:r>
      <w:r>
        <w:rPr>
          <w:lang w:val="en-US"/>
        </w:rPr>
        <w:tab/>
        <w:t>Outcome relative to p2, p3, p4</w:t>
      </w:r>
    </w:p>
    <w:p w14:paraId="34F4280F" w14:textId="77777777" w:rsidR="001D2756" w:rsidRDefault="007954A7">
      <w:pPr>
        <w:rPr>
          <w:lang w:val="en-US"/>
        </w:rPr>
      </w:pPr>
      <w:r>
        <w:rPr>
          <w:lang w:val="en-US"/>
        </w:rPr>
        <w:t>The following working assumption was taken:</w:t>
      </w:r>
    </w:p>
    <w:p w14:paraId="15B19BF9"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Encode NR ARFCN as INTEGER(0..3266667) (</w:t>
      </w:r>
      <w:commentRangeStart w:id="0"/>
      <w:r>
        <w:rPr>
          <w:rFonts w:ascii="Times New Roman" w:hAnsi="Times New Roman"/>
          <w:b/>
          <w:sz w:val="20"/>
          <w:lang w:val="en-GB"/>
        </w:rPr>
        <w:t>pending confirmation from RAN4 and RAN2</w:t>
      </w:r>
      <w:commentRangeEnd w:id="0"/>
      <w:r>
        <w:rPr>
          <w:rStyle w:val="CommentReference"/>
          <w:rFonts w:ascii="Times New Roman" w:hAnsi="Times New Roman"/>
          <w:lang w:val="en-GB"/>
        </w:rPr>
        <w:commentReference w:id="0"/>
      </w:r>
      <w:r>
        <w:rPr>
          <w:rFonts w:ascii="Times New Roman" w:hAnsi="Times New Roman"/>
          <w:b/>
          <w:sz w:val="20"/>
          <w:lang w:val="en-GB"/>
        </w:rPr>
        <w:t>).</w:t>
      </w:r>
    </w:p>
    <w:p w14:paraId="59B94EBC" w14:textId="77777777" w:rsidR="001D2756" w:rsidRDefault="001D2756">
      <w:pPr>
        <w:pStyle w:val="00BodyText"/>
        <w:spacing w:after="0"/>
        <w:rPr>
          <w:rFonts w:ascii="Times New Roman" w:hAnsi="Times New Roman"/>
          <w:b/>
          <w:sz w:val="20"/>
          <w:lang w:val="en-GB"/>
        </w:rPr>
      </w:pPr>
    </w:p>
    <w:p w14:paraId="350E73BD" w14:textId="77777777" w:rsidR="001D2756" w:rsidRDefault="007954A7">
      <w:pPr>
        <w:rPr>
          <w:lang w:val="en-US"/>
        </w:rPr>
      </w:pPr>
      <w:r>
        <w:rPr>
          <w:lang w:val="en-US"/>
        </w:rPr>
        <w:t>The following was agreed:</w:t>
      </w:r>
    </w:p>
    <w:p w14:paraId="067AF3A7"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Not include the Subframe Assignment IE in the Served NR Cell Information IE.</w:t>
      </w:r>
    </w:p>
    <w:p w14:paraId="35E206EA" w14:textId="77777777" w:rsidR="001D2756" w:rsidRDefault="007954A7">
      <w:pPr>
        <w:pStyle w:val="00BodyText"/>
        <w:spacing w:after="0"/>
        <w:rPr>
          <w:rFonts w:ascii="Times New Roman" w:hAnsi="Times New Roman"/>
          <w:b/>
          <w:sz w:val="20"/>
          <w:lang w:val="en-GB"/>
        </w:rPr>
      </w:pPr>
      <w:r>
        <w:rPr>
          <w:rFonts w:ascii="Times New Roman" w:hAnsi="Times New Roman"/>
          <w:b/>
          <w:sz w:val="20"/>
          <w:lang w:val="en-GB"/>
        </w:rPr>
        <w:t>Not include the Special Subframe Info IE in the Served NR Cell Information IE.</w:t>
      </w:r>
    </w:p>
    <w:p w14:paraId="3B301028" w14:textId="77777777" w:rsidR="001D2756" w:rsidRDefault="001D2756"/>
    <w:p w14:paraId="3DE89D82" w14:textId="77777777" w:rsidR="001D2756" w:rsidRDefault="007954A7">
      <w:pPr>
        <w:pStyle w:val="Heading1"/>
        <w:rPr>
          <w:lang w:val="en-US"/>
        </w:rPr>
      </w:pPr>
      <w:r>
        <w:rPr>
          <w:lang w:val="en-US"/>
        </w:rPr>
        <w:lastRenderedPageBreak/>
        <w:t>3</w:t>
      </w:r>
      <w:r>
        <w:rPr>
          <w:lang w:val="en-US"/>
        </w:rPr>
        <w:tab/>
        <w:t>Discussion on p1 and p5</w:t>
      </w:r>
    </w:p>
    <w:p w14:paraId="1FEF48F0" w14:textId="77777777" w:rsidR="001D2756" w:rsidRDefault="007954A7">
      <w:pPr>
        <w:rPr>
          <w:lang w:val="en-US"/>
        </w:rPr>
      </w:pPr>
      <w:r>
        <w:rPr>
          <w:lang w:val="en-US"/>
        </w:rPr>
        <w:t xml:space="preserve">At RAN3-98 a discussion was carried out on the EN-DC X2 Setup and EN-DC Configuration Update procedures. At that time an agreement was made to include the </w:t>
      </w:r>
      <w:r>
        <w:rPr>
          <w:i/>
          <w:lang w:val="en-US"/>
        </w:rPr>
        <w:t>Cell Assistance Information</w:t>
      </w:r>
      <w:r>
        <w:rPr>
          <w:lang w:val="en-US"/>
        </w:rPr>
        <w:t xml:space="preserve"> IE in both the EN-DC X2 Setup Request and EN-DC Configuration Update. During the RAN3 ad hoc 1801 it was discussed that the Cell Assistance Information may not be needed for the EN-DC X2 Setup Request. Instead the information in the </w:t>
      </w:r>
      <w:r>
        <w:rPr>
          <w:i/>
          <w:lang w:val="en-US"/>
        </w:rPr>
        <w:t>Cell Assistance Information</w:t>
      </w:r>
      <w:r>
        <w:rPr>
          <w:lang w:val="en-US"/>
        </w:rPr>
        <w:t xml:space="preserve"> IE, which enables reporting from an en-gNB of a limited list of cells, may be beneficial in the EN-DC Configuration Update messages. This document provides a way forward on how to proceed with specification of the X2 procedures in question.</w:t>
      </w:r>
    </w:p>
    <w:p w14:paraId="39CDE851" w14:textId="77777777" w:rsidR="001D2756" w:rsidRDefault="007954A7">
      <w:pPr>
        <w:rPr>
          <w:lang w:val="en-US"/>
        </w:rPr>
      </w:pPr>
      <w:r>
        <w:rPr>
          <w:lang w:val="en-US"/>
        </w:rPr>
        <w:t>The main problem detected during online discussions regards the configuration updates an en-gNB may trigger towards an eNB. The issue pointed out is that if the en-gNB supports a large number of cells, spanning across a large coverage area, the en-gNB may send frequent EN-DC Configuration Updates to the eNB, notifying cell updates that may be of no relevance to the eNB.</w:t>
      </w:r>
    </w:p>
    <w:p w14:paraId="2B56500E" w14:textId="77777777" w:rsidR="001D2756" w:rsidRDefault="007954A7">
      <w:pPr>
        <w:pStyle w:val="Heading2"/>
        <w:rPr>
          <w:lang w:val="en-US"/>
        </w:rPr>
      </w:pPr>
      <w:r>
        <w:rPr>
          <w:lang w:val="en-US"/>
        </w:rPr>
        <w:t>3.1</w:t>
      </w:r>
      <w:r>
        <w:rPr>
          <w:lang w:val="en-US"/>
        </w:rPr>
        <w:tab/>
        <w:t>Way Forward</w:t>
      </w:r>
    </w:p>
    <w:p w14:paraId="294A00C1" w14:textId="77777777" w:rsidR="001D2756" w:rsidRDefault="007954A7">
      <w:pPr>
        <w:rPr>
          <w:b/>
        </w:rPr>
      </w:pPr>
      <w:r>
        <w:rPr>
          <w:b/>
        </w:rPr>
        <w:t>WF1: The EN-DC X2 Setup Request and EN-DC X2 Setup Response always carry full list of supported cells. Namely, an eNB will include its full list of supported cells, and an en-gNB will include its full list of supported cells.</w:t>
      </w:r>
    </w:p>
    <w:p w14:paraId="170BB386" w14:textId="77777777" w:rsidR="001D2756" w:rsidRDefault="007954A7">
      <w:r>
        <w:t>With WF1 the two nodes, eNB and en-gNB, are informed of their full set of cells. This has a number of benefits such as to know unequivocally all the cells supported by the neighbour node. With that it can be detected, for example, whether the same PCI is used multiple times by the same node on the same carrier (creating potential for PCI confusion), or it can be chosen not to trigger UE cell measurements (e.g. SIB measurements) in some scenarios once all the cells supported by a neighbour node in a given carrier are detected.</w:t>
      </w:r>
    </w:p>
    <w:p w14:paraId="36F2D321" w14:textId="77777777" w:rsidR="001D2756" w:rsidRDefault="001D2756">
      <w:pPr>
        <w:rPr>
          <w:b/>
        </w:rPr>
      </w:pPr>
    </w:p>
    <w:p w14:paraId="1C9A5C5A" w14:textId="77777777" w:rsidR="001D2756" w:rsidRDefault="007954A7">
      <w:pPr>
        <w:rPr>
          <w:b/>
        </w:rPr>
      </w:pPr>
      <w:r>
        <w:rPr>
          <w:b/>
        </w:rPr>
        <w:t>WF2: It is proposed to enable two types of EN-DC Configuration Updates:</w:t>
      </w:r>
    </w:p>
    <w:p w14:paraId="68D5A77C" w14:textId="77777777" w:rsidR="001D2756" w:rsidRDefault="007954A7">
      <w:pPr>
        <w:pStyle w:val="ListParagraph1"/>
        <w:numPr>
          <w:ilvl w:val="0"/>
          <w:numId w:val="1"/>
        </w:numPr>
        <w:rPr>
          <w:b/>
        </w:rPr>
      </w:pPr>
      <w:r>
        <w:rPr>
          <w:b/>
        </w:rPr>
        <w:t>EN-DC Configuration Update providing updates for a limited list of en-gNB’s cells</w:t>
      </w:r>
    </w:p>
    <w:p w14:paraId="67872220" w14:textId="77777777" w:rsidR="001D2756" w:rsidRDefault="007954A7">
      <w:pPr>
        <w:pStyle w:val="ListParagraph1"/>
        <w:numPr>
          <w:ilvl w:val="0"/>
          <w:numId w:val="1"/>
        </w:numPr>
        <w:rPr>
          <w:b/>
        </w:rPr>
      </w:pPr>
      <w:r>
        <w:rPr>
          <w:b/>
        </w:rPr>
        <w:t>EN-DC Configuration Update providing updates for the full list of en-gNB’s cells</w:t>
      </w:r>
    </w:p>
    <w:p w14:paraId="46351CE9" w14:textId="77777777" w:rsidR="001D2756" w:rsidRDefault="001D2756"/>
    <w:p w14:paraId="7EA2F713" w14:textId="77777777" w:rsidR="001D2756" w:rsidRDefault="007954A7">
      <w:r>
        <w:t>For the first option, here is a possible way the EN-DC Configuration Update could work:</w:t>
      </w:r>
    </w:p>
    <w:p w14:paraId="4CED8B56" w14:textId="77777777" w:rsidR="001D2756" w:rsidRDefault="007954A7">
      <w:pPr>
        <w:pStyle w:val="ListParagraph1"/>
        <w:numPr>
          <w:ilvl w:val="0"/>
          <w:numId w:val="2"/>
        </w:numPr>
      </w:pPr>
      <w:r>
        <w:t>After EN-DC X2 Setup the eNB sends an EN-DC Configuration Update to the en-gNB including a list of NR cells.</w:t>
      </w:r>
    </w:p>
    <w:p w14:paraId="500750C3" w14:textId="77777777" w:rsidR="001D2756" w:rsidRDefault="007954A7">
      <w:pPr>
        <w:pStyle w:val="ListParagraph1"/>
        <w:numPr>
          <w:ilvl w:val="0"/>
          <w:numId w:val="2"/>
        </w:numPr>
      </w:pPr>
      <w:r>
        <w:t xml:space="preserve">From reception of EN-DC Configuration Update with indication of requested list of NR cells, the en-gNB will keep the eNB updated with a limited list of its served NR cells. This limited list will contain the NR cells requested by the eNB, and possibly additional NR cells that the en-gNB believes is of relevance for the eNB. </w:t>
      </w:r>
    </w:p>
    <w:p w14:paraId="43B21F9B" w14:textId="77777777" w:rsidR="001D2756" w:rsidRDefault="007954A7">
      <w:pPr>
        <w:pStyle w:val="ListParagraph1"/>
        <w:numPr>
          <w:ilvl w:val="0"/>
          <w:numId w:val="2"/>
        </w:numPr>
      </w:pPr>
      <w:r>
        <w:t>The eNB is able to send a new EN-DC Configuration Update to the en-gNB including a new list of requested NR neighbour cells.</w:t>
      </w:r>
    </w:p>
    <w:p w14:paraId="23736430" w14:textId="77777777" w:rsidR="001D2756" w:rsidRDefault="007954A7">
      <w:r>
        <w:t>For the second option, here is a possible way the EN-DC Configuration Update could work:</w:t>
      </w:r>
    </w:p>
    <w:p w14:paraId="1CD747FA" w14:textId="4325B7BF" w:rsidR="001D2756" w:rsidRDefault="00BA4928" w:rsidP="00BA4928">
      <w:pPr>
        <w:pStyle w:val="ListParagraph1"/>
        <w:numPr>
          <w:ilvl w:val="0"/>
          <w:numId w:val="2"/>
        </w:numPr>
      </w:pPr>
      <w:r w:rsidRPr="00BA4928">
        <w:t xml:space="preserve">After EN-DC X2 Setup the eNB sends an EN-DC Configuration Update to the en-gNB  to request updates for </w:t>
      </w:r>
      <w:r>
        <w:t>the full list of en-gNB’s cells</w:t>
      </w:r>
      <w:bookmarkStart w:id="1" w:name="_GoBack"/>
      <w:bookmarkEnd w:id="1"/>
      <w:r w:rsidR="007954A7">
        <w:t>.</w:t>
      </w:r>
    </w:p>
    <w:p w14:paraId="09F100B0" w14:textId="77777777" w:rsidR="001D2756" w:rsidRDefault="007954A7">
      <w:pPr>
        <w:pStyle w:val="ListParagraph1"/>
        <w:numPr>
          <w:ilvl w:val="0"/>
          <w:numId w:val="2"/>
        </w:numPr>
        <w:rPr>
          <w:lang w:val="en-US"/>
        </w:rPr>
      </w:pPr>
      <w:r>
        <w:t>From reception of EN-DC Configuration Update with indication of full list of cells, the en-gNB will keep the eNB updated with its full list of served NR cells.</w:t>
      </w:r>
    </w:p>
    <w:p w14:paraId="7DB4229F" w14:textId="77777777" w:rsidR="001D2756" w:rsidRDefault="007954A7">
      <w:pPr>
        <w:pStyle w:val="Heading1"/>
        <w:rPr>
          <w:lang w:val="en-US"/>
        </w:rPr>
      </w:pPr>
      <w:r>
        <w:rPr>
          <w:lang w:val="en-US"/>
        </w:rPr>
        <w:t>4</w:t>
      </w:r>
      <w:r>
        <w:rPr>
          <w:lang w:val="en-US"/>
        </w:rPr>
        <w:tab/>
        <w:t>Conclusions</w:t>
      </w:r>
    </w:p>
    <w:p w14:paraId="02A120EE" w14:textId="77777777" w:rsidR="001D2756" w:rsidRDefault="007954A7">
      <w:r>
        <w:t>In this paper the offline discussions on EN-DC X2 Setup and EN-DC Configuration updates concerning the NSA ANR feature have been outlined.</w:t>
      </w:r>
    </w:p>
    <w:p w14:paraId="7A7904FA" w14:textId="77777777" w:rsidR="001D2756" w:rsidRDefault="007954A7">
      <w:r>
        <w:lastRenderedPageBreak/>
        <w:t>It is proposed to endorse working assumption and agreements from section 2, and the way forward from section 3.1.</w:t>
      </w:r>
    </w:p>
    <w:sectPr w:rsidR="001D275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ricsson User" w:date="2018-01-25T09:44:00Z" w:initials="AC">
    <w:p w14:paraId="7639171C" w14:textId="77777777" w:rsidR="001D2756" w:rsidRDefault="007954A7">
      <w:pPr>
        <w:pStyle w:val="CommentText"/>
      </w:pPr>
      <w:r>
        <w:t xml:space="preserve">This has already ben confirmed in LS </w:t>
      </w:r>
      <w:hyperlink r:id="rId1" w:history="1">
        <w:r>
          <w:rPr>
            <w:rStyle w:val="Hyperlink"/>
          </w:rPr>
          <w:t>R4-1714295</w:t>
        </w:r>
      </w:hyperlink>
      <w:r>
        <w:rPr>
          <w:u w:val="single"/>
        </w:rPr>
        <w:t>, which unfortunately is not addressed to RAN3, but that contains confirmation of how ARFCN shall be encoded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3917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39171C" w16cid:durableId="1E14E75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61A0B"/>
    <w:multiLevelType w:val="multilevel"/>
    <w:tmpl w:val="68961A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8E123D0"/>
    <w:multiLevelType w:val="multilevel"/>
    <w:tmpl w:val="78E123D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08A6"/>
    <w:rsid w:val="000B7BCF"/>
    <w:rsid w:val="000C522B"/>
    <w:rsid w:val="000D1776"/>
    <w:rsid w:val="000D58AB"/>
    <w:rsid w:val="00112F1A"/>
    <w:rsid w:val="00127245"/>
    <w:rsid w:val="00145075"/>
    <w:rsid w:val="00152306"/>
    <w:rsid w:val="001741A0"/>
    <w:rsid w:val="00175FA0"/>
    <w:rsid w:val="00194CD0"/>
    <w:rsid w:val="001B49C9"/>
    <w:rsid w:val="001C4F79"/>
    <w:rsid w:val="001D2756"/>
    <w:rsid w:val="001E0083"/>
    <w:rsid w:val="001F168B"/>
    <w:rsid w:val="001F7831"/>
    <w:rsid w:val="002036CB"/>
    <w:rsid w:val="00204045"/>
    <w:rsid w:val="0020712B"/>
    <w:rsid w:val="0022606D"/>
    <w:rsid w:val="002747EC"/>
    <w:rsid w:val="002855BF"/>
    <w:rsid w:val="002B02EA"/>
    <w:rsid w:val="002B7F81"/>
    <w:rsid w:val="002C7594"/>
    <w:rsid w:val="002F0D22"/>
    <w:rsid w:val="00301DF2"/>
    <w:rsid w:val="003172DC"/>
    <w:rsid w:val="00325AE3"/>
    <w:rsid w:val="00326069"/>
    <w:rsid w:val="00334B19"/>
    <w:rsid w:val="0035462D"/>
    <w:rsid w:val="00364B41"/>
    <w:rsid w:val="00384DEC"/>
    <w:rsid w:val="003947A6"/>
    <w:rsid w:val="003B40AD"/>
    <w:rsid w:val="003C4E37"/>
    <w:rsid w:val="003E16BE"/>
    <w:rsid w:val="004006E8"/>
    <w:rsid w:val="00401855"/>
    <w:rsid w:val="004270A2"/>
    <w:rsid w:val="00467072"/>
    <w:rsid w:val="00477455"/>
    <w:rsid w:val="004B2624"/>
    <w:rsid w:val="004C44D2"/>
    <w:rsid w:val="004D3578"/>
    <w:rsid w:val="004D380D"/>
    <w:rsid w:val="004E213A"/>
    <w:rsid w:val="00503171"/>
    <w:rsid w:val="00506C28"/>
    <w:rsid w:val="00525FC4"/>
    <w:rsid w:val="00534DA0"/>
    <w:rsid w:val="00543E6C"/>
    <w:rsid w:val="00544D54"/>
    <w:rsid w:val="00565087"/>
    <w:rsid w:val="0056573F"/>
    <w:rsid w:val="005B7F5E"/>
    <w:rsid w:val="005E7186"/>
    <w:rsid w:val="00611566"/>
    <w:rsid w:val="0062794B"/>
    <w:rsid w:val="00646D99"/>
    <w:rsid w:val="00656910"/>
    <w:rsid w:val="00670DA2"/>
    <w:rsid w:val="00671651"/>
    <w:rsid w:val="006C66D8"/>
    <w:rsid w:val="006D1E24"/>
    <w:rsid w:val="006D64EB"/>
    <w:rsid w:val="006E1417"/>
    <w:rsid w:val="006E1561"/>
    <w:rsid w:val="006F6A2C"/>
    <w:rsid w:val="00710201"/>
    <w:rsid w:val="007342B5"/>
    <w:rsid w:val="00734A5B"/>
    <w:rsid w:val="00744E76"/>
    <w:rsid w:val="00757D40"/>
    <w:rsid w:val="00757F61"/>
    <w:rsid w:val="00781F0F"/>
    <w:rsid w:val="0078727C"/>
    <w:rsid w:val="0079049D"/>
    <w:rsid w:val="00791E51"/>
    <w:rsid w:val="00792AF5"/>
    <w:rsid w:val="00793DC5"/>
    <w:rsid w:val="007954A7"/>
    <w:rsid w:val="007B18D8"/>
    <w:rsid w:val="007B56C6"/>
    <w:rsid w:val="007C095F"/>
    <w:rsid w:val="007F6013"/>
    <w:rsid w:val="00801B5B"/>
    <w:rsid w:val="008028A4"/>
    <w:rsid w:val="0080544F"/>
    <w:rsid w:val="00813245"/>
    <w:rsid w:val="0087687B"/>
    <w:rsid w:val="008768CA"/>
    <w:rsid w:val="00877EF9"/>
    <w:rsid w:val="00880559"/>
    <w:rsid w:val="0088227C"/>
    <w:rsid w:val="008935C9"/>
    <w:rsid w:val="00897E2E"/>
    <w:rsid w:val="008B5306"/>
    <w:rsid w:val="0090271F"/>
    <w:rsid w:val="00902DB9"/>
    <w:rsid w:val="0090466A"/>
    <w:rsid w:val="0091730A"/>
    <w:rsid w:val="00936071"/>
    <w:rsid w:val="0093779F"/>
    <w:rsid w:val="00940212"/>
    <w:rsid w:val="00942EC2"/>
    <w:rsid w:val="009462E6"/>
    <w:rsid w:val="00961B32"/>
    <w:rsid w:val="00970DB3"/>
    <w:rsid w:val="00974BB0"/>
    <w:rsid w:val="009756EB"/>
    <w:rsid w:val="0099295F"/>
    <w:rsid w:val="009A0AF3"/>
    <w:rsid w:val="009B07CD"/>
    <w:rsid w:val="009C19E9"/>
    <w:rsid w:val="009C1F2D"/>
    <w:rsid w:val="009D74A6"/>
    <w:rsid w:val="009E0043"/>
    <w:rsid w:val="00A01345"/>
    <w:rsid w:val="00A10F02"/>
    <w:rsid w:val="00A132DD"/>
    <w:rsid w:val="00A14611"/>
    <w:rsid w:val="00A204CA"/>
    <w:rsid w:val="00A53724"/>
    <w:rsid w:val="00A82346"/>
    <w:rsid w:val="00A90BE8"/>
    <w:rsid w:val="00A9671C"/>
    <w:rsid w:val="00AA1553"/>
    <w:rsid w:val="00B15449"/>
    <w:rsid w:val="00B27303"/>
    <w:rsid w:val="00B4174F"/>
    <w:rsid w:val="00B47FD1"/>
    <w:rsid w:val="00B516BB"/>
    <w:rsid w:val="00BA4928"/>
    <w:rsid w:val="00BC3555"/>
    <w:rsid w:val="00BE225C"/>
    <w:rsid w:val="00C12B51"/>
    <w:rsid w:val="00C24650"/>
    <w:rsid w:val="00C33079"/>
    <w:rsid w:val="00C83A13"/>
    <w:rsid w:val="00C9068C"/>
    <w:rsid w:val="00C92967"/>
    <w:rsid w:val="00CA3D0C"/>
    <w:rsid w:val="00CA44A0"/>
    <w:rsid w:val="00CA654B"/>
    <w:rsid w:val="00CD4C7B"/>
    <w:rsid w:val="00D33984"/>
    <w:rsid w:val="00D3792D"/>
    <w:rsid w:val="00D55E47"/>
    <w:rsid w:val="00D624C1"/>
    <w:rsid w:val="00D62E19"/>
    <w:rsid w:val="00D738D6"/>
    <w:rsid w:val="00D80795"/>
    <w:rsid w:val="00D854BE"/>
    <w:rsid w:val="00D87E00"/>
    <w:rsid w:val="00D9134D"/>
    <w:rsid w:val="00D96D11"/>
    <w:rsid w:val="00D97378"/>
    <w:rsid w:val="00DA7A03"/>
    <w:rsid w:val="00DB1818"/>
    <w:rsid w:val="00DB65A7"/>
    <w:rsid w:val="00DC309B"/>
    <w:rsid w:val="00DC4DA2"/>
    <w:rsid w:val="00E62835"/>
    <w:rsid w:val="00E65CE2"/>
    <w:rsid w:val="00E75DD6"/>
    <w:rsid w:val="00E77645"/>
    <w:rsid w:val="00E83697"/>
    <w:rsid w:val="00E862F9"/>
    <w:rsid w:val="00E8661E"/>
    <w:rsid w:val="00E9659E"/>
    <w:rsid w:val="00EC4A25"/>
    <w:rsid w:val="00F025A2"/>
    <w:rsid w:val="00F02E48"/>
    <w:rsid w:val="00F07388"/>
    <w:rsid w:val="00F2026E"/>
    <w:rsid w:val="00F2210A"/>
    <w:rsid w:val="00F37743"/>
    <w:rsid w:val="00F54A3D"/>
    <w:rsid w:val="00F54CB0"/>
    <w:rsid w:val="00F653B8"/>
    <w:rsid w:val="00F71B89"/>
    <w:rsid w:val="00F7353C"/>
    <w:rsid w:val="00F76F8F"/>
    <w:rsid w:val="00F8022F"/>
    <w:rsid w:val="00FA1266"/>
    <w:rsid w:val="00FB36FA"/>
    <w:rsid w:val="00FC1192"/>
    <w:rsid w:val="00FE216B"/>
    <w:rsid w:val="00FE251B"/>
    <w:rsid w:val="167143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E1B98"/>
  <w15:docId w15:val="{C204BFF5-E20D-49D0-86EB-2D9D0D38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Samp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customStyle="1" w:styleId="ListParagraph1">
    <w:name w:val="List Paragraph1"/>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customStyle="1" w:styleId="00BodyText">
    <w:name w:val="00 BodyText"/>
    <w:basedOn w:val="Normal"/>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omments.xml.rels><?xml version="1.0" encoding="UTF-8" standalone="yes"?>
<Relationships xmlns="http://schemas.openxmlformats.org/package/2006/relationships"><Relationship Id="rId1" Type="http://schemas.openxmlformats.org/officeDocument/2006/relationships/hyperlink" Target="http://www.3gpp.org/ftp/tsg_ran/WG4_Radio/TSGR4_85/Docs/R4-1714295.zip" TargetMode="External"/></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768</Words>
  <Characters>4226</Characters>
  <Application>Microsoft Office Word</Application>
  <DocSecurity>0</DocSecurity>
  <Lines>35</Lines>
  <Paragraphs>9</Paragraphs>
  <ScaleCrop>false</ScaleCrop>
  <Company>Nokia Siemens Networks</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AMBR solution for MR-DC</dc:title>
  <dc:subject>RAN3 #AH-1801</dc:subject>
  <dc:creator>Nokia</dc:creator>
  <cp:lastModifiedBy>Nokia-user 3</cp:lastModifiedBy>
  <cp:revision>6</cp:revision>
  <dcterms:created xsi:type="dcterms:W3CDTF">2018-01-25T08:50:00Z</dcterms:created>
  <dcterms:modified xsi:type="dcterms:W3CDTF">2018-01-25T22:56:00Z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